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7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1215"/>
        <w:gridCol w:w="3037"/>
      </w:tblGrid>
      <w:tr w:rsidR="004F2061" w14:paraId="059EC961" w14:textId="77777777" w:rsidTr="001E7E85">
        <w:trPr>
          <w:trHeight w:val="451"/>
        </w:trPr>
        <w:tc>
          <w:tcPr>
            <w:tcW w:w="421" w:type="dxa"/>
            <w:shd w:val="clear" w:color="auto" w:fill="FFF2CC" w:themeFill="accent4" w:themeFillTint="33"/>
          </w:tcPr>
          <w:p w14:paraId="3375799B" w14:textId="77777777" w:rsidR="00A51A29" w:rsidRDefault="002D3A06" w:rsidP="004F2061">
            <w:r>
              <w:t>1.</w:t>
            </w:r>
          </w:p>
        </w:tc>
        <w:tc>
          <w:tcPr>
            <w:tcW w:w="1215" w:type="dxa"/>
            <w:shd w:val="clear" w:color="auto" w:fill="FFF2CC" w:themeFill="accent4" w:themeFillTint="33"/>
          </w:tcPr>
          <w:p w14:paraId="3CC6F644" w14:textId="747EFFCD" w:rsidR="00A51A29" w:rsidRPr="007464ED" w:rsidRDefault="00100931" w:rsidP="004F2061">
            <w:pPr>
              <w:rPr>
                <w:b/>
                <w:sz w:val="20"/>
              </w:rPr>
            </w:pPr>
            <w:r>
              <w:rPr>
                <w:b/>
                <w:sz w:val="20"/>
              </w:rPr>
              <w:t>Feast of Christ the King</w:t>
            </w:r>
          </w:p>
        </w:tc>
        <w:tc>
          <w:tcPr>
            <w:tcW w:w="3037" w:type="dxa"/>
            <w:shd w:val="clear" w:color="auto" w:fill="FFF2CC" w:themeFill="accent4" w:themeFillTint="33"/>
          </w:tcPr>
          <w:p w14:paraId="37E27492" w14:textId="1938BE32" w:rsidR="00A51A29" w:rsidRPr="007464ED" w:rsidRDefault="00100931" w:rsidP="004F2061">
            <w:pPr>
              <w:rPr>
                <w:sz w:val="20"/>
              </w:rPr>
            </w:pPr>
            <w:r w:rsidRPr="00100931">
              <w:rPr>
                <w:sz w:val="20"/>
              </w:rPr>
              <w:t>Feast of Christ the King, also called Solemnity of Our Lord Jesus Christ, festival celebrated in honour of Jesus Christ as lord over all creation.</w:t>
            </w:r>
            <w:r w:rsidR="005847C3">
              <w:rPr>
                <w:sz w:val="20"/>
              </w:rPr>
              <w:t xml:space="preserve"> It </w:t>
            </w:r>
            <w:r w:rsidR="005847C3" w:rsidRPr="005847C3">
              <w:rPr>
                <w:sz w:val="20"/>
              </w:rPr>
              <w:t>serves as a reminder to be thankful for Christ's unselfish act in securing mankind's survival.</w:t>
            </w:r>
          </w:p>
        </w:tc>
      </w:tr>
      <w:tr w:rsidR="004F2061" w14:paraId="1903587D" w14:textId="77777777" w:rsidTr="001E7E85">
        <w:trPr>
          <w:trHeight w:val="475"/>
        </w:trPr>
        <w:tc>
          <w:tcPr>
            <w:tcW w:w="421" w:type="dxa"/>
            <w:shd w:val="clear" w:color="auto" w:fill="F7CAAC" w:themeFill="accent2" w:themeFillTint="66"/>
          </w:tcPr>
          <w:p w14:paraId="37A03487" w14:textId="77777777" w:rsidR="00A51A29" w:rsidRDefault="002D3A06" w:rsidP="004F2061">
            <w:r>
              <w:t>2.</w:t>
            </w:r>
          </w:p>
        </w:tc>
        <w:tc>
          <w:tcPr>
            <w:tcW w:w="1215" w:type="dxa"/>
            <w:shd w:val="clear" w:color="auto" w:fill="F7CAAC" w:themeFill="accent2" w:themeFillTint="66"/>
          </w:tcPr>
          <w:p w14:paraId="180BF1EB" w14:textId="77C428C8" w:rsidR="00A51A29" w:rsidRPr="007464ED" w:rsidRDefault="005847C3" w:rsidP="004F2061">
            <w:pPr>
              <w:rPr>
                <w:b/>
                <w:sz w:val="20"/>
              </w:rPr>
            </w:pPr>
            <w:r>
              <w:rPr>
                <w:b/>
                <w:sz w:val="20"/>
              </w:rPr>
              <w:t xml:space="preserve">Magnificat </w:t>
            </w:r>
          </w:p>
        </w:tc>
        <w:tc>
          <w:tcPr>
            <w:tcW w:w="3037" w:type="dxa"/>
            <w:shd w:val="clear" w:color="auto" w:fill="F7CAAC" w:themeFill="accent2" w:themeFillTint="66"/>
          </w:tcPr>
          <w:p w14:paraId="1D4C73CE" w14:textId="56E66688" w:rsidR="00A51A29" w:rsidRPr="007464ED" w:rsidRDefault="005847C3" w:rsidP="004F2061">
            <w:pPr>
              <w:rPr>
                <w:sz w:val="20"/>
              </w:rPr>
            </w:pPr>
            <w:r w:rsidRPr="005847C3">
              <w:rPr>
                <w:sz w:val="20"/>
              </w:rPr>
              <w:t>Mary's song of joy draws heavily from the Old Testament to show how her son will fulfil many of God's promises.</w:t>
            </w:r>
          </w:p>
        </w:tc>
      </w:tr>
      <w:tr w:rsidR="004F2061" w14:paraId="6E1627F3" w14:textId="77777777" w:rsidTr="001E7E85">
        <w:trPr>
          <w:trHeight w:val="488"/>
        </w:trPr>
        <w:tc>
          <w:tcPr>
            <w:tcW w:w="421" w:type="dxa"/>
            <w:shd w:val="clear" w:color="auto" w:fill="FFF2CC" w:themeFill="accent4" w:themeFillTint="33"/>
          </w:tcPr>
          <w:p w14:paraId="30668528" w14:textId="77777777" w:rsidR="00A51A29" w:rsidRDefault="00552765" w:rsidP="004F2061">
            <w:r>
              <w:t>3.</w:t>
            </w:r>
          </w:p>
        </w:tc>
        <w:tc>
          <w:tcPr>
            <w:tcW w:w="1215" w:type="dxa"/>
            <w:shd w:val="clear" w:color="auto" w:fill="FFF2CC" w:themeFill="accent4" w:themeFillTint="33"/>
          </w:tcPr>
          <w:p w14:paraId="680F2FE3" w14:textId="489C2476" w:rsidR="00A51A29" w:rsidRPr="007464ED" w:rsidRDefault="005847C3" w:rsidP="004F2061">
            <w:pPr>
              <w:rPr>
                <w:b/>
                <w:sz w:val="20"/>
              </w:rPr>
            </w:pPr>
            <w:r>
              <w:rPr>
                <w:b/>
                <w:sz w:val="20"/>
              </w:rPr>
              <w:t>Vespers</w:t>
            </w:r>
          </w:p>
        </w:tc>
        <w:tc>
          <w:tcPr>
            <w:tcW w:w="3037" w:type="dxa"/>
            <w:shd w:val="clear" w:color="auto" w:fill="FFF2CC" w:themeFill="accent4" w:themeFillTint="33"/>
          </w:tcPr>
          <w:p w14:paraId="29AD07EF" w14:textId="48A3A2F8" w:rsidR="00A51A29" w:rsidRPr="007464ED" w:rsidRDefault="005847C3" w:rsidP="004F2061">
            <w:pPr>
              <w:rPr>
                <w:sz w:val="20"/>
              </w:rPr>
            </w:pPr>
            <w:r>
              <w:rPr>
                <w:sz w:val="20"/>
              </w:rPr>
              <w:t>A</w:t>
            </w:r>
            <w:r w:rsidRPr="005847C3">
              <w:rPr>
                <w:sz w:val="20"/>
              </w:rPr>
              <w:t xml:space="preserve"> liturgy of evening prayer</w:t>
            </w:r>
            <w:r>
              <w:rPr>
                <w:sz w:val="20"/>
              </w:rPr>
              <w:t xml:space="preserve">. </w:t>
            </w:r>
            <w:r w:rsidRPr="005847C3">
              <w:rPr>
                <w:sz w:val="20"/>
              </w:rPr>
              <w:t>The word for this prayer time comes from the vesper, meaning "evening".</w:t>
            </w:r>
          </w:p>
        </w:tc>
      </w:tr>
      <w:tr w:rsidR="00D35264" w14:paraId="1B99F9DB" w14:textId="77777777" w:rsidTr="001E7E85">
        <w:trPr>
          <w:trHeight w:val="450"/>
        </w:trPr>
        <w:tc>
          <w:tcPr>
            <w:tcW w:w="421" w:type="dxa"/>
            <w:shd w:val="clear" w:color="auto" w:fill="F7CAAC" w:themeFill="accent2" w:themeFillTint="66"/>
          </w:tcPr>
          <w:p w14:paraId="63078418" w14:textId="77777777" w:rsidR="00D35264" w:rsidRDefault="00D35264" w:rsidP="004F2061">
            <w:r>
              <w:t>4.</w:t>
            </w:r>
          </w:p>
        </w:tc>
        <w:tc>
          <w:tcPr>
            <w:tcW w:w="4252" w:type="dxa"/>
            <w:gridSpan w:val="2"/>
            <w:shd w:val="clear" w:color="auto" w:fill="F7CAAC" w:themeFill="accent2" w:themeFillTint="66"/>
          </w:tcPr>
          <w:p w14:paraId="2E1CA2B0" w14:textId="406B87F4" w:rsidR="00D35264" w:rsidRPr="007464ED" w:rsidRDefault="00D35264" w:rsidP="004F2061">
            <w:pPr>
              <w:rPr>
                <w:sz w:val="20"/>
              </w:rPr>
            </w:pPr>
            <w:r>
              <w:rPr>
                <w:sz w:val="20"/>
              </w:rPr>
              <w:t>Mary fulfilled the Old Testament as i</w:t>
            </w:r>
            <w:r w:rsidRPr="00D35264">
              <w:rPr>
                <w:sz w:val="20"/>
              </w:rPr>
              <w:t>t is expressly predicted in Isaiah 7:14: "Behold, a virgin will be with child and bear a son, and she will call His name Immanuel" According to Matthew 1:22-23, this prophecy was fulfilled in Mary.</w:t>
            </w:r>
          </w:p>
        </w:tc>
      </w:tr>
      <w:tr w:rsidR="00D35264" w14:paraId="6B83B067" w14:textId="77777777" w:rsidTr="001E7E85">
        <w:trPr>
          <w:trHeight w:val="476"/>
        </w:trPr>
        <w:tc>
          <w:tcPr>
            <w:tcW w:w="421" w:type="dxa"/>
            <w:shd w:val="clear" w:color="auto" w:fill="FFF2CC" w:themeFill="accent4" w:themeFillTint="33"/>
          </w:tcPr>
          <w:p w14:paraId="7D12F7B5" w14:textId="77777777" w:rsidR="00D35264" w:rsidRPr="004F02AF" w:rsidRDefault="00D35264" w:rsidP="004F2061">
            <w:pPr>
              <w:rPr>
                <w:sz w:val="20"/>
              </w:rPr>
            </w:pPr>
            <w:r w:rsidRPr="004F02AF">
              <w:rPr>
                <w:sz w:val="20"/>
              </w:rPr>
              <w:t>5.</w:t>
            </w:r>
          </w:p>
        </w:tc>
        <w:tc>
          <w:tcPr>
            <w:tcW w:w="4252" w:type="dxa"/>
            <w:gridSpan w:val="2"/>
            <w:shd w:val="clear" w:color="auto" w:fill="FFF2CC" w:themeFill="accent4" w:themeFillTint="33"/>
          </w:tcPr>
          <w:p w14:paraId="5BB5E0F3" w14:textId="1C54943B" w:rsidR="00D35264" w:rsidRPr="004F02AF" w:rsidRDefault="00D35264" w:rsidP="004F2061">
            <w:pPr>
              <w:rPr>
                <w:sz w:val="20"/>
              </w:rPr>
            </w:pPr>
            <w:r>
              <w:rPr>
                <w:sz w:val="20"/>
              </w:rPr>
              <w:t xml:space="preserve">There are still women today who continue to fulfil God’s work: </w:t>
            </w:r>
            <w:r>
              <w:t xml:space="preserve"> </w:t>
            </w:r>
            <w:r w:rsidRPr="00D35264">
              <w:rPr>
                <w:sz w:val="20"/>
              </w:rPr>
              <w:t>Benedictine</w:t>
            </w:r>
            <w:r>
              <w:rPr>
                <w:sz w:val="20"/>
              </w:rPr>
              <w:t>s</w:t>
            </w:r>
            <w:r w:rsidRPr="00D35264">
              <w:rPr>
                <w:sz w:val="20"/>
              </w:rPr>
              <w:t xml:space="preserve">, </w:t>
            </w:r>
            <w:proofErr w:type="spellStart"/>
            <w:r w:rsidRPr="00D35264">
              <w:rPr>
                <w:sz w:val="20"/>
              </w:rPr>
              <w:t>Bridgettines</w:t>
            </w:r>
            <w:proofErr w:type="spellEnd"/>
            <w:r w:rsidRPr="00D35264">
              <w:rPr>
                <w:sz w:val="20"/>
              </w:rPr>
              <w:t>, Sisters of the Blessed Virgin Mary</w:t>
            </w:r>
          </w:p>
        </w:tc>
      </w:tr>
    </w:tbl>
    <w:tbl>
      <w:tblPr>
        <w:tblpPr w:leftFromText="180" w:rightFromText="180" w:vertAnchor="text" w:horzAnchor="page" w:tblpX="10933" w:tblpY="7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1706"/>
        <w:gridCol w:w="3538"/>
      </w:tblGrid>
      <w:tr w:rsidR="00A44C89" w14:paraId="0776D997" w14:textId="77777777" w:rsidTr="005A50D1">
        <w:trPr>
          <w:trHeight w:val="565"/>
        </w:trPr>
        <w:tc>
          <w:tcPr>
            <w:tcW w:w="421" w:type="dxa"/>
            <w:shd w:val="clear" w:color="auto" w:fill="E2EFD9" w:themeFill="accent6" w:themeFillTint="33"/>
          </w:tcPr>
          <w:p w14:paraId="310571AD" w14:textId="77777777" w:rsidR="00A44C89" w:rsidRDefault="00A44C89" w:rsidP="00D35264">
            <w:r>
              <w:t>1.</w:t>
            </w:r>
          </w:p>
        </w:tc>
        <w:tc>
          <w:tcPr>
            <w:tcW w:w="1706" w:type="dxa"/>
            <w:shd w:val="clear" w:color="auto" w:fill="E2EFD9" w:themeFill="accent6" w:themeFillTint="33"/>
          </w:tcPr>
          <w:p w14:paraId="69A8C364" w14:textId="79513C72" w:rsidR="00A44C89" w:rsidRPr="00A44C89" w:rsidRDefault="00A44C89" w:rsidP="00D35264">
            <w:pPr>
              <w:rPr>
                <w:b/>
                <w:bCs/>
                <w:sz w:val="20"/>
                <w:szCs w:val="20"/>
              </w:rPr>
            </w:pPr>
            <w:r w:rsidRPr="00A44C89">
              <w:rPr>
                <w:b/>
                <w:bCs/>
                <w:sz w:val="20"/>
                <w:szCs w:val="20"/>
              </w:rPr>
              <w:t xml:space="preserve"> Infancy</w:t>
            </w:r>
          </w:p>
        </w:tc>
        <w:tc>
          <w:tcPr>
            <w:tcW w:w="3538" w:type="dxa"/>
            <w:shd w:val="clear" w:color="auto" w:fill="E2EFD9" w:themeFill="accent6" w:themeFillTint="33"/>
          </w:tcPr>
          <w:p w14:paraId="38E6C095" w14:textId="28561435" w:rsidR="00A44C89" w:rsidRPr="003947EC" w:rsidRDefault="0072748D" w:rsidP="00D35264">
            <w:pPr>
              <w:rPr>
                <w:sz w:val="20"/>
                <w:szCs w:val="20"/>
              </w:rPr>
            </w:pPr>
            <w:r>
              <w:rPr>
                <w:sz w:val="20"/>
                <w:szCs w:val="20"/>
              </w:rPr>
              <w:t>T</w:t>
            </w:r>
            <w:r w:rsidR="003947EC" w:rsidRPr="003947EC">
              <w:rPr>
                <w:sz w:val="20"/>
                <w:szCs w:val="20"/>
              </w:rPr>
              <w:t>he earliest stage of a child's life.</w:t>
            </w:r>
          </w:p>
        </w:tc>
      </w:tr>
      <w:tr w:rsidR="00A44C89" w14:paraId="27BC6A5E" w14:textId="77777777" w:rsidTr="005A50D1">
        <w:trPr>
          <w:trHeight w:val="519"/>
        </w:trPr>
        <w:tc>
          <w:tcPr>
            <w:tcW w:w="421" w:type="dxa"/>
            <w:shd w:val="clear" w:color="auto" w:fill="C5E0B3" w:themeFill="accent6" w:themeFillTint="66"/>
          </w:tcPr>
          <w:p w14:paraId="758637F0" w14:textId="77777777" w:rsidR="00A44C89" w:rsidRDefault="00A44C89" w:rsidP="00D35264">
            <w:r>
              <w:t>2.</w:t>
            </w:r>
          </w:p>
        </w:tc>
        <w:tc>
          <w:tcPr>
            <w:tcW w:w="1706" w:type="dxa"/>
            <w:shd w:val="clear" w:color="auto" w:fill="C5E0B3" w:themeFill="accent6" w:themeFillTint="66"/>
          </w:tcPr>
          <w:p w14:paraId="0A48870A" w14:textId="4F91C128" w:rsidR="00A44C89" w:rsidRPr="00A44C89" w:rsidRDefault="00A44C89" w:rsidP="00D35264">
            <w:pPr>
              <w:rPr>
                <w:b/>
                <w:bCs/>
                <w:sz w:val="20"/>
                <w:szCs w:val="20"/>
              </w:rPr>
            </w:pPr>
            <w:r w:rsidRPr="00A44C89">
              <w:rPr>
                <w:b/>
                <w:bCs/>
                <w:sz w:val="20"/>
                <w:szCs w:val="20"/>
              </w:rPr>
              <w:t>Narrative</w:t>
            </w:r>
          </w:p>
        </w:tc>
        <w:tc>
          <w:tcPr>
            <w:tcW w:w="3538" w:type="dxa"/>
            <w:shd w:val="clear" w:color="auto" w:fill="C5E0B3" w:themeFill="accent6" w:themeFillTint="66"/>
          </w:tcPr>
          <w:p w14:paraId="391CFA55" w14:textId="297C1B86" w:rsidR="00A44C89" w:rsidRPr="003947EC" w:rsidRDefault="0072748D" w:rsidP="00D35264">
            <w:pPr>
              <w:rPr>
                <w:sz w:val="20"/>
                <w:szCs w:val="20"/>
              </w:rPr>
            </w:pPr>
            <w:r>
              <w:rPr>
                <w:sz w:val="20"/>
                <w:szCs w:val="20"/>
              </w:rPr>
              <w:t>A</w:t>
            </w:r>
            <w:r w:rsidR="003947EC" w:rsidRPr="003947EC">
              <w:rPr>
                <w:sz w:val="20"/>
                <w:szCs w:val="20"/>
              </w:rPr>
              <w:t xml:space="preserve"> piece of writing that focuses on telling a story.</w:t>
            </w:r>
          </w:p>
        </w:tc>
      </w:tr>
      <w:tr w:rsidR="004F2061" w14:paraId="241A6E0A" w14:textId="77777777" w:rsidTr="005A50D1">
        <w:trPr>
          <w:trHeight w:val="447"/>
        </w:trPr>
        <w:tc>
          <w:tcPr>
            <w:tcW w:w="421" w:type="dxa"/>
            <w:shd w:val="clear" w:color="auto" w:fill="E2EFD9" w:themeFill="accent6" w:themeFillTint="33"/>
          </w:tcPr>
          <w:p w14:paraId="024969AD" w14:textId="77777777" w:rsidR="00C7269E" w:rsidRDefault="00C7269E" w:rsidP="00D35264">
            <w:r>
              <w:t>3.</w:t>
            </w:r>
          </w:p>
        </w:tc>
        <w:tc>
          <w:tcPr>
            <w:tcW w:w="1706" w:type="dxa"/>
            <w:shd w:val="clear" w:color="auto" w:fill="E2EFD9" w:themeFill="accent6" w:themeFillTint="33"/>
          </w:tcPr>
          <w:p w14:paraId="5567B6F0" w14:textId="660A6A5C" w:rsidR="00C7269E" w:rsidRPr="00C7269E" w:rsidRDefault="004F2061" w:rsidP="00D35264">
            <w:pPr>
              <w:rPr>
                <w:b/>
                <w:sz w:val="16"/>
                <w:szCs w:val="18"/>
              </w:rPr>
            </w:pPr>
            <w:r w:rsidRPr="005847C3">
              <w:rPr>
                <w:b/>
                <w:sz w:val="20"/>
              </w:rPr>
              <w:t>Luke 1:26-56</w:t>
            </w:r>
          </w:p>
        </w:tc>
        <w:tc>
          <w:tcPr>
            <w:tcW w:w="3538" w:type="dxa"/>
            <w:shd w:val="clear" w:color="auto" w:fill="E2EFD9" w:themeFill="accent6" w:themeFillTint="33"/>
          </w:tcPr>
          <w:p w14:paraId="06E1EBA9" w14:textId="1DEBF8F6" w:rsidR="00C7269E" w:rsidRPr="00C7269E" w:rsidRDefault="004F2061" w:rsidP="00D35264">
            <w:pPr>
              <w:rPr>
                <w:sz w:val="16"/>
                <w:szCs w:val="18"/>
              </w:rPr>
            </w:pPr>
            <w:r w:rsidRPr="005847C3">
              <w:rPr>
                <w:sz w:val="20"/>
              </w:rPr>
              <w:t xml:space="preserve">Gabriel </w:t>
            </w:r>
            <w:r>
              <w:rPr>
                <w:sz w:val="20"/>
              </w:rPr>
              <w:t>tell</w:t>
            </w:r>
            <w:r w:rsidR="001E7E85">
              <w:rPr>
                <w:sz w:val="20"/>
              </w:rPr>
              <w:t>s</w:t>
            </w:r>
            <w:r>
              <w:rPr>
                <w:sz w:val="20"/>
              </w:rPr>
              <w:t xml:space="preserve"> Mary</w:t>
            </w:r>
            <w:r w:rsidRPr="005847C3">
              <w:rPr>
                <w:sz w:val="20"/>
              </w:rPr>
              <w:t xml:space="preserve"> that the Holy Spirit is going to cause </w:t>
            </w:r>
            <w:r>
              <w:rPr>
                <w:sz w:val="20"/>
              </w:rPr>
              <w:t>her to be pregnant</w:t>
            </w:r>
            <w:r w:rsidRPr="005847C3">
              <w:rPr>
                <w:sz w:val="20"/>
              </w:rPr>
              <w:t>. He goes on to tell her that God had performed a miracle with Elizabeth as well</w:t>
            </w:r>
            <w:r>
              <w:rPr>
                <w:sz w:val="20"/>
              </w:rPr>
              <w:t>.</w:t>
            </w:r>
          </w:p>
        </w:tc>
      </w:tr>
      <w:tr w:rsidR="004F2061" w14:paraId="1EB9E60E" w14:textId="77777777" w:rsidTr="005A50D1">
        <w:trPr>
          <w:trHeight w:val="559"/>
        </w:trPr>
        <w:tc>
          <w:tcPr>
            <w:tcW w:w="421" w:type="dxa"/>
            <w:shd w:val="clear" w:color="auto" w:fill="C5E0B3" w:themeFill="accent6" w:themeFillTint="66"/>
          </w:tcPr>
          <w:p w14:paraId="24FC3F97" w14:textId="77777777" w:rsidR="00C7269E" w:rsidRDefault="00C7269E" w:rsidP="00D35264">
            <w:r>
              <w:t>4.</w:t>
            </w:r>
          </w:p>
        </w:tc>
        <w:tc>
          <w:tcPr>
            <w:tcW w:w="1706" w:type="dxa"/>
            <w:shd w:val="clear" w:color="auto" w:fill="C5E0B3" w:themeFill="accent6" w:themeFillTint="66"/>
          </w:tcPr>
          <w:p w14:paraId="7C20420B" w14:textId="1D5811F7" w:rsidR="00C7269E" w:rsidRPr="00C7269E" w:rsidRDefault="004F2061" w:rsidP="00D35264">
            <w:pPr>
              <w:rPr>
                <w:b/>
                <w:sz w:val="16"/>
                <w:szCs w:val="18"/>
              </w:rPr>
            </w:pPr>
            <w:r w:rsidRPr="005847C3">
              <w:rPr>
                <w:b/>
                <w:bCs/>
                <w:sz w:val="20"/>
              </w:rPr>
              <w:t>Matthew 1:18-25</w:t>
            </w:r>
          </w:p>
        </w:tc>
        <w:tc>
          <w:tcPr>
            <w:tcW w:w="3538" w:type="dxa"/>
            <w:shd w:val="clear" w:color="auto" w:fill="C5E0B3" w:themeFill="accent6" w:themeFillTint="66"/>
          </w:tcPr>
          <w:p w14:paraId="7C92970E" w14:textId="14E1A594" w:rsidR="00C7269E" w:rsidRPr="00C7269E" w:rsidRDefault="004F2061" w:rsidP="00D35264">
            <w:pPr>
              <w:rPr>
                <w:sz w:val="16"/>
                <w:szCs w:val="18"/>
              </w:rPr>
            </w:pPr>
            <w:r w:rsidRPr="005847C3">
              <w:rPr>
                <w:sz w:val="20"/>
              </w:rPr>
              <w:t>Joseph decided to break his engagement to Mary quietly. However, an angel appeared to him in a dream, telling him to marry Mary. The angel said that Mary would have a son, whom they were to name Jesus</w:t>
            </w:r>
            <w:r>
              <w:rPr>
                <w:sz w:val="20"/>
              </w:rPr>
              <w:t>.</w:t>
            </w:r>
          </w:p>
        </w:tc>
      </w:tr>
      <w:tr w:rsidR="004F2061" w14:paraId="3D9AFD35" w14:textId="77777777" w:rsidTr="005A50D1">
        <w:trPr>
          <w:trHeight w:val="264"/>
        </w:trPr>
        <w:tc>
          <w:tcPr>
            <w:tcW w:w="421" w:type="dxa"/>
            <w:shd w:val="clear" w:color="auto" w:fill="E2EFD9" w:themeFill="accent6" w:themeFillTint="33"/>
          </w:tcPr>
          <w:p w14:paraId="5CBB6533" w14:textId="7277E7AF" w:rsidR="00C7269E" w:rsidRDefault="00C7269E" w:rsidP="00D35264">
            <w:r>
              <w:t>5.</w:t>
            </w:r>
          </w:p>
        </w:tc>
        <w:tc>
          <w:tcPr>
            <w:tcW w:w="1706" w:type="dxa"/>
            <w:shd w:val="clear" w:color="auto" w:fill="E2EFD9" w:themeFill="accent6" w:themeFillTint="33"/>
          </w:tcPr>
          <w:p w14:paraId="22E530D3" w14:textId="76E2DB2F" w:rsidR="004F2061" w:rsidRDefault="004F2061" w:rsidP="00D35264">
            <w:pPr>
              <w:jc w:val="center"/>
              <w:rPr>
                <w:b/>
                <w:bCs/>
                <w:sz w:val="20"/>
              </w:rPr>
            </w:pPr>
            <w:r>
              <w:rPr>
                <w:b/>
                <w:bCs/>
                <w:noProof/>
                <w:sz w:val="20"/>
                <w:lang w:eastAsia="en-GB"/>
              </w:rPr>
              <w:drawing>
                <wp:anchor distT="0" distB="0" distL="114300" distR="114300" simplePos="0" relativeHeight="251666432" behindDoc="0" locked="0" layoutInCell="1" allowOverlap="1" wp14:anchorId="24465DEC" wp14:editId="623F76DD">
                  <wp:simplePos x="0" y="0"/>
                  <wp:positionH relativeFrom="column">
                    <wp:posOffset>-34594</wp:posOffset>
                  </wp:positionH>
                  <wp:positionV relativeFrom="paragraph">
                    <wp:posOffset>533428</wp:posOffset>
                  </wp:positionV>
                  <wp:extent cx="808943" cy="10741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8943" cy="107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2061">
              <w:rPr>
                <w:b/>
                <w:bCs/>
                <w:sz w:val="20"/>
              </w:rPr>
              <w:t xml:space="preserve">The Dream of Saint Joseph- Anton Raphael </w:t>
            </w:r>
            <w:proofErr w:type="spellStart"/>
            <w:r w:rsidRPr="004F2061">
              <w:rPr>
                <w:b/>
                <w:bCs/>
                <w:sz w:val="20"/>
              </w:rPr>
              <w:t>Mengs</w:t>
            </w:r>
            <w:proofErr w:type="spellEnd"/>
          </w:p>
          <w:p w14:paraId="6F5B4B0F" w14:textId="54DDE9B6" w:rsidR="004F2061" w:rsidRDefault="004F2061" w:rsidP="00D35264">
            <w:pPr>
              <w:jc w:val="center"/>
              <w:rPr>
                <w:b/>
                <w:bCs/>
                <w:sz w:val="20"/>
              </w:rPr>
            </w:pPr>
          </w:p>
          <w:p w14:paraId="7981A797" w14:textId="72D372D6" w:rsidR="004F2061" w:rsidRDefault="004F2061" w:rsidP="00D35264">
            <w:pPr>
              <w:jc w:val="center"/>
              <w:rPr>
                <w:b/>
                <w:bCs/>
                <w:sz w:val="20"/>
              </w:rPr>
            </w:pPr>
          </w:p>
          <w:p w14:paraId="7A763C53" w14:textId="77777777" w:rsidR="004F2061" w:rsidRDefault="004F2061" w:rsidP="00D35264">
            <w:pPr>
              <w:jc w:val="center"/>
              <w:rPr>
                <w:b/>
                <w:bCs/>
                <w:sz w:val="20"/>
              </w:rPr>
            </w:pPr>
          </w:p>
          <w:p w14:paraId="1C26459F" w14:textId="63E3AD6A" w:rsidR="00C7269E" w:rsidRPr="00C7269E" w:rsidRDefault="00C7269E" w:rsidP="00D35264">
            <w:pPr>
              <w:rPr>
                <w:b/>
                <w:sz w:val="16"/>
                <w:szCs w:val="18"/>
              </w:rPr>
            </w:pPr>
          </w:p>
        </w:tc>
        <w:tc>
          <w:tcPr>
            <w:tcW w:w="3538" w:type="dxa"/>
            <w:shd w:val="clear" w:color="auto" w:fill="E2EFD9" w:themeFill="accent6" w:themeFillTint="33"/>
          </w:tcPr>
          <w:p w14:paraId="46376966" w14:textId="77777777" w:rsidR="004F2061" w:rsidRDefault="004F2061" w:rsidP="00D35264">
            <w:pPr>
              <w:jc w:val="center"/>
              <w:rPr>
                <w:b/>
                <w:bCs/>
                <w:sz w:val="20"/>
              </w:rPr>
            </w:pPr>
            <w:r>
              <w:rPr>
                <w:b/>
                <w:bCs/>
                <w:sz w:val="20"/>
              </w:rPr>
              <w:t>The Annunciation- Tanner</w:t>
            </w:r>
          </w:p>
          <w:p w14:paraId="0349B46A" w14:textId="34B859F0" w:rsidR="00C7269E" w:rsidRPr="00C7269E" w:rsidRDefault="004F2061" w:rsidP="00D35264">
            <w:pPr>
              <w:jc w:val="center"/>
              <w:rPr>
                <w:sz w:val="16"/>
                <w:szCs w:val="18"/>
              </w:rPr>
            </w:pPr>
            <w:r>
              <w:rPr>
                <w:b/>
                <w:bCs/>
                <w:noProof/>
                <w:sz w:val="20"/>
                <w:lang w:eastAsia="en-GB"/>
              </w:rPr>
              <w:drawing>
                <wp:inline distT="0" distB="0" distL="0" distR="0" wp14:anchorId="1F5F18EB" wp14:editId="4FCB52C5">
                  <wp:extent cx="1710892" cy="1367625"/>
                  <wp:effectExtent l="0" t="0" r="381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791" cy="1394722"/>
                          </a:xfrm>
                          <a:prstGeom prst="rect">
                            <a:avLst/>
                          </a:prstGeom>
                          <a:noFill/>
                          <a:ln>
                            <a:noFill/>
                          </a:ln>
                        </pic:spPr>
                      </pic:pic>
                    </a:graphicData>
                  </a:graphic>
                </wp:inline>
              </w:drawing>
            </w:r>
          </w:p>
        </w:tc>
      </w:tr>
      <w:tr w:rsidR="004F2061" w14:paraId="7F66D29A" w14:textId="77777777" w:rsidTr="005A50D1">
        <w:trPr>
          <w:trHeight w:val="561"/>
        </w:trPr>
        <w:tc>
          <w:tcPr>
            <w:tcW w:w="421" w:type="dxa"/>
            <w:shd w:val="clear" w:color="auto" w:fill="C5E0B3" w:themeFill="accent6" w:themeFillTint="66"/>
          </w:tcPr>
          <w:p w14:paraId="7DF0A4A8" w14:textId="5EBFC46F" w:rsidR="00C7269E" w:rsidRDefault="00C7269E" w:rsidP="00D35264">
            <w:r>
              <w:t>6.</w:t>
            </w:r>
          </w:p>
        </w:tc>
        <w:tc>
          <w:tcPr>
            <w:tcW w:w="1706" w:type="dxa"/>
            <w:shd w:val="clear" w:color="auto" w:fill="C5E0B3" w:themeFill="accent6" w:themeFillTint="66"/>
          </w:tcPr>
          <w:p w14:paraId="13E9C00A" w14:textId="210B5853" w:rsidR="00C7269E" w:rsidRPr="00D35264" w:rsidRDefault="0072748D" w:rsidP="00D35264">
            <w:pPr>
              <w:rPr>
                <w:bCs/>
                <w:sz w:val="20"/>
              </w:rPr>
            </w:pPr>
            <w:r w:rsidRPr="00D35264">
              <w:rPr>
                <w:bCs/>
                <w:sz w:val="20"/>
              </w:rPr>
              <w:t>Artwork</w:t>
            </w:r>
            <w:r w:rsidR="00D35264" w:rsidRPr="00D35264">
              <w:rPr>
                <w:bCs/>
                <w:sz w:val="20"/>
              </w:rPr>
              <w:t xml:space="preserve"> that depicts and celebrates what is described in Matthew 1:18-25</w:t>
            </w:r>
          </w:p>
        </w:tc>
        <w:tc>
          <w:tcPr>
            <w:tcW w:w="3538" w:type="dxa"/>
            <w:shd w:val="clear" w:color="auto" w:fill="C5E0B3" w:themeFill="accent6" w:themeFillTint="66"/>
          </w:tcPr>
          <w:p w14:paraId="0978EE9E" w14:textId="4B483926" w:rsidR="00C7269E" w:rsidRPr="00D35264" w:rsidRDefault="00D35264" w:rsidP="00D35264">
            <w:pPr>
              <w:rPr>
                <w:bCs/>
                <w:sz w:val="20"/>
              </w:rPr>
            </w:pPr>
            <w:r w:rsidRPr="00D35264">
              <w:rPr>
                <w:bCs/>
                <w:sz w:val="20"/>
              </w:rPr>
              <w:t xml:space="preserve">Artwork that depicts and celebrates what is described </w:t>
            </w:r>
            <w:r w:rsidR="0072748D" w:rsidRPr="00D35264">
              <w:rPr>
                <w:bCs/>
                <w:sz w:val="20"/>
              </w:rPr>
              <w:t>in Luke</w:t>
            </w:r>
            <w:r w:rsidRPr="00D35264">
              <w:rPr>
                <w:bCs/>
                <w:sz w:val="20"/>
              </w:rPr>
              <w:t xml:space="preserve"> 1:26-56</w:t>
            </w:r>
          </w:p>
        </w:tc>
      </w:tr>
    </w:tbl>
    <w:tbl>
      <w:tblPr>
        <w:tblpPr w:leftFromText="180" w:rightFromText="180" w:vertAnchor="text" w:horzAnchor="page" w:tblpX="517" w:tblpY="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418"/>
        <w:gridCol w:w="3539"/>
      </w:tblGrid>
      <w:tr w:rsidR="004F2061" w14:paraId="3DFAA7D5" w14:textId="77777777" w:rsidTr="006E25F2">
        <w:trPr>
          <w:trHeight w:val="350"/>
        </w:trPr>
        <w:tc>
          <w:tcPr>
            <w:tcW w:w="425" w:type="dxa"/>
            <w:shd w:val="clear" w:color="auto" w:fill="DEEAF6" w:themeFill="accent1" w:themeFillTint="33"/>
          </w:tcPr>
          <w:p w14:paraId="2C8A1ECA" w14:textId="77777777" w:rsidR="004F2061" w:rsidRDefault="004F2061" w:rsidP="006E25F2">
            <w:r>
              <w:t>1.</w:t>
            </w:r>
          </w:p>
        </w:tc>
        <w:tc>
          <w:tcPr>
            <w:tcW w:w="1418" w:type="dxa"/>
            <w:shd w:val="clear" w:color="auto" w:fill="DEEAF6" w:themeFill="accent1" w:themeFillTint="33"/>
          </w:tcPr>
          <w:p w14:paraId="49CC0931" w14:textId="77777777" w:rsidR="004F2061" w:rsidRPr="007464ED" w:rsidRDefault="004F2061" w:rsidP="006E25F2">
            <w:pPr>
              <w:rPr>
                <w:b/>
                <w:sz w:val="20"/>
              </w:rPr>
            </w:pPr>
            <w:r>
              <w:rPr>
                <w:b/>
                <w:sz w:val="20"/>
              </w:rPr>
              <w:t>P</w:t>
            </w:r>
            <w:r w:rsidRPr="003512EE">
              <w:rPr>
                <w:b/>
                <w:sz w:val="20"/>
              </w:rPr>
              <w:t xml:space="preserve">rotagonists  </w:t>
            </w:r>
          </w:p>
        </w:tc>
        <w:tc>
          <w:tcPr>
            <w:tcW w:w="3539" w:type="dxa"/>
            <w:shd w:val="clear" w:color="auto" w:fill="DEEAF6" w:themeFill="accent1" w:themeFillTint="33"/>
          </w:tcPr>
          <w:p w14:paraId="33898687" w14:textId="30E547D3" w:rsidR="004F2061" w:rsidRPr="007464ED" w:rsidRDefault="004F2061" w:rsidP="006E25F2">
            <w:pPr>
              <w:rPr>
                <w:sz w:val="20"/>
              </w:rPr>
            </w:pPr>
            <w:r>
              <w:rPr>
                <w:sz w:val="20"/>
              </w:rPr>
              <w:t>A</w:t>
            </w:r>
            <w:r w:rsidRPr="003512EE">
              <w:rPr>
                <w:sz w:val="20"/>
              </w:rPr>
              <w:t>dvocate or champion of a particular cause or idea</w:t>
            </w:r>
            <w:r w:rsidR="0072748D">
              <w:rPr>
                <w:sz w:val="20"/>
              </w:rPr>
              <w:t>.</w:t>
            </w:r>
          </w:p>
        </w:tc>
      </w:tr>
      <w:tr w:rsidR="004F2061" w14:paraId="42E6A313" w14:textId="77777777" w:rsidTr="006E25F2">
        <w:trPr>
          <w:trHeight w:val="438"/>
        </w:trPr>
        <w:tc>
          <w:tcPr>
            <w:tcW w:w="425" w:type="dxa"/>
            <w:shd w:val="clear" w:color="auto" w:fill="BDD6EE" w:themeFill="accent1" w:themeFillTint="66"/>
          </w:tcPr>
          <w:p w14:paraId="54057876" w14:textId="77777777" w:rsidR="004F2061" w:rsidRDefault="004F2061" w:rsidP="006E25F2">
            <w:r>
              <w:t>2.</w:t>
            </w:r>
          </w:p>
        </w:tc>
        <w:tc>
          <w:tcPr>
            <w:tcW w:w="1418" w:type="dxa"/>
            <w:shd w:val="clear" w:color="auto" w:fill="BDD6EE" w:themeFill="accent1" w:themeFillTint="66"/>
          </w:tcPr>
          <w:p w14:paraId="70EB17C9" w14:textId="77777777" w:rsidR="004F2061" w:rsidRPr="007464ED" w:rsidRDefault="004F2061" w:rsidP="006E25F2">
            <w:pPr>
              <w:rPr>
                <w:b/>
                <w:sz w:val="20"/>
              </w:rPr>
            </w:pPr>
            <w:r>
              <w:rPr>
                <w:b/>
                <w:sz w:val="20"/>
              </w:rPr>
              <w:t>S</w:t>
            </w:r>
            <w:r w:rsidRPr="003512EE">
              <w:rPr>
                <w:b/>
                <w:sz w:val="20"/>
              </w:rPr>
              <w:t>alvation</w:t>
            </w:r>
          </w:p>
        </w:tc>
        <w:tc>
          <w:tcPr>
            <w:tcW w:w="3539" w:type="dxa"/>
            <w:shd w:val="clear" w:color="auto" w:fill="BDD6EE" w:themeFill="accent1" w:themeFillTint="66"/>
          </w:tcPr>
          <w:p w14:paraId="05FC80D2" w14:textId="67014450" w:rsidR="004F2061" w:rsidRPr="007464ED" w:rsidRDefault="004F2061" w:rsidP="006E25F2">
            <w:pPr>
              <w:rPr>
                <w:sz w:val="20"/>
              </w:rPr>
            </w:pPr>
            <w:r>
              <w:rPr>
                <w:sz w:val="20"/>
              </w:rPr>
              <w:t>P</w:t>
            </w:r>
            <w:r w:rsidRPr="003512EE">
              <w:rPr>
                <w:sz w:val="20"/>
              </w:rPr>
              <w:t>reservation or deliverance from harm, ruin, or loss</w:t>
            </w:r>
            <w:r w:rsidR="0072748D">
              <w:rPr>
                <w:sz w:val="20"/>
              </w:rPr>
              <w:t>.</w:t>
            </w:r>
          </w:p>
        </w:tc>
      </w:tr>
      <w:tr w:rsidR="004F2061" w14:paraId="4760CEE9" w14:textId="77777777" w:rsidTr="006E25F2">
        <w:trPr>
          <w:trHeight w:val="438"/>
        </w:trPr>
        <w:tc>
          <w:tcPr>
            <w:tcW w:w="425" w:type="dxa"/>
            <w:shd w:val="clear" w:color="auto" w:fill="BDD6EE" w:themeFill="accent1" w:themeFillTint="66"/>
          </w:tcPr>
          <w:p w14:paraId="250ADEE1" w14:textId="77777777" w:rsidR="004F2061" w:rsidRDefault="004F2061" w:rsidP="006E25F2">
            <w:r>
              <w:t>3.</w:t>
            </w:r>
          </w:p>
        </w:tc>
        <w:tc>
          <w:tcPr>
            <w:tcW w:w="1418" w:type="dxa"/>
            <w:shd w:val="clear" w:color="auto" w:fill="BDD6EE" w:themeFill="accent1" w:themeFillTint="66"/>
          </w:tcPr>
          <w:p w14:paraId="2D152273" w14:textId="77777777" w:rsidR="004F2061" w:rsidRPr="007464ED" w:rsidRDefault="004F2061" w:rsidP="006E25F2">
            <w:pPr>
              <w:rPr>
                <w:b/>
                <w:sz w:val="20"/>
              </w:rPr>
            </w:pPr>
            <w:r>
              <w:rPr>
                <w:b/>
                <w:sz w:val="20"/>
              </w:rPr>
              <w:t>Old Testament</w:t>
            </w:r>
          </w:p>
        </w:tc>
        <w:tc>
          <w:tcPr>
            <w:tcW w:w="3539" w:type="dxa"/>
            <w:shd w:val="clear" w:color="auto" w:fill="BDD6EE" w:themeFill="accent1" w:themeFillTint="66"/>
          </w:tcPr>
          <w:p w14:paraId="1ED75EE9" w14:textId="16BAB719" w:rsidR="004F2061" w:rsidRPr="007464ED" w:rsidRDefault="004F2061" w:rsidP="006E25F2">
            <w:pPr>
              <w:rPr>
                <w:sz w:val="20"/>
              </w:rPr>
            </w:pPr>
            <w:r>
              <w:rPr>
                <w:sz w:val="20"/>
              </w:rPr>
              <w:t>T</w:t>
            </w:r>
            <w:r w:rsidRPr="003512EE">
              <w:rPr>
                <w:sz w:val="20"/>
              </w:rPr>
              <w:t>he first part of the Bible, which is the holy book of Christianity. It narrates the history, wisdom, and prophecies of the Jewish people, and their relationship with God</w:t>
            </w:r>
            <w:r w:rsidR="001E7E85">
              <w:rPr>
                <w:sz w:val="20"/>
              </w:rPr>
              <w:t>.</w:t>
            </w:r>
          </w:p>
        </w:tc>
      </w:tr>
      <w:tr w:rsidR="004F2061" w14:paraId="678FEC3B" w14:textId="77777777" w:rsidTr="006E25F2">
        <w:trPr>
          <w:trHeight w:val="1791"/>
        </w:trPr>
        <w:tc>
          <w:tcPr>
            <w:tcW w:w="425" w:type="dxa"/>
            <w:shd w:val="clear" w:color="auto" w:fill="DEEAF6" w:themeFill="accent1" w:themeFillTint="33"/>
          </w:tcPr>
          <w:p w14:paraId="67EE984F" w14:textId="77777777" w:rsidR="004F2061" w:rsidRDefault="004F2061" w:rsidP="006E25F2">
            <w:r>
              <w:t>4.</w:t>
            </w:r>
          </w:p>
        </w:tc>
        <w:tc>
          <w:tcPr>
            <w:tcW w:w="1418" w:type="dxa"/>
            <w:shd w:val="clear" w:color="auto" w:fill="DEEAF6" w:themeFill="accent1" w:themeFillTint="33"/>
          </w:tcPr>
          <w:p w14:paraId="4755FC78" w14:textId="77777777" w:rsidR="004F2061" w:rsidRPr="003512EE" w:rsidRDefault="004F2061" w:rsidP="006E25F2">
            <w:pPr>
              <w:rPr>
                <w:b/>
                <w:bCs/>
                <w:sz w:val="20"/>
                <w:szCs w:val="20"/>
              </w:rPr>
            </w:pPr>
            <w:r w:rsidRPr="003512EE">
              <w:rPr>
                <w:b/>
                <w:bCs/>
                <w:sz w:val="20"/>
                <w:szCs w:val="20"/>
              </w:rPr>
              <w:t>Miriam</w:t>
            </w:r>
          </w:p>
          <w:p w14:paraId="48C36567" w14:textId="77777777" w:rsidR="004F2061" w:rsidRPr="003512EE" w:rsidRDefault="004F2061" w:rsidP="006E25F2">
            <w:pPr>
              <w:rPr>
                <w:b/>
                <w:bCs/>
                <w:sz w:val="20"/>
                <w:szCs w:val="20"/>
              </w:rPr>
            </w:pPr>
            <w:r w:rsidRPr="003512EE">
              <w:rPr>
                <w:b/>
                <w:bCs/>
                <w:sz w:val="20"/>
                <w:szCs w:val="20"/>
              </w:rPr>
              <w:t>Exodus 2:1-10</w:t>
            </w:r>
          </w:p>
        </w:tc>
        <w:tc>
          <w:tcPr>
            <w:tcW w:w="3539" w:type="dxa"/>
            <w:shd w:val="clear" w:color="auto" w:fill="DEEAF6" w:themeFill="accent1" w:themeFillTint="33"/>
          </w:tcPr>
          <w:p w14:paraId="0B160A25" w14:textId="77777777" w:rsidR="004F2061" w:rsidRDefault="004F2061" w:rsidP="006E25F2">
            <w:r w:rsidRPr="003512EE">
              <w:t>She participates with Moses and Aaron to lead the Israelite community during the exodus and the wanderings. Her role in saving her baby brother and in celebrating the crossing of the sea highlights her concern for her people.</w:t>
            </w:r>
          </w:p>
        </w:tc>
      </w:tr>
      <w:tr w:rsidR="004F2061" w14:paraId="1DE52513" w14:textId="77777777" w:rsidTr="006E25F2">
        <w:trPr>
          <w:trHeight w:val="1301"/>
        </w:trPr>
        <w:tc>
          <w:tcPr>
            <w:tcW w:w="425" w:type="dxa"/>
            <w:shd w:val="clear" w:color="auto" w:fill="BDD6EE" w:themeFill="accent1" w:themeFillTint="66"/>
          </w:tcPr>
          <w:p w14:paraId="17667584" w14:textId="77777777" w:rsidR="004F2061" w:rsidRDefault="004F2061" w:rsidP="006E25F2">
            <w:r>
              <w:t>5.</w:t>
            </w:r>
          </w:p>
        </w:tc>
        <w:tc>
          <w:tcPr>
            <w:tcW w:w="1418" w:type="dxa"/>
            <w:shd w:val="clear" w:color="auto" w:fill="BDD6EE" w:themeFill="accent1" w:themeFillTint="66"/>
          </w:tcPr>
          <w:p w14:paraId="50B719E0" w14:textId="77777777" w:rsidR="004F2061" w:rsidRPr="003512EE" w:rsidRDefault="004F2061" w:rsidP="006E25F2">
            <w:pPr>
              <w:spacing w:after="0"/>
              <w:rPr>
                <w:b/>
                <w:bCs/>
                <w:sz w:val="20"/>
                <w:szCs w:val="20"/>
              </w:rPr>
            </w:pPr>
            <w:r w:rsidRPr="003512EE">
              <w:rPr>
                <w:b/>
                <w:bCs/>
                <w:sz w:val="20"/>
                <w:szCs w:val="20"/>
              </w:rPr>
              <w:t>Deborah</w:t>
            </w:r>
          </w:p>
          <w:p w14:paraId="1B6886CF" w14:textId="77777777" w:rsidR="004F2061" w:rsidRPr="003512EE" w:rsidRDefault="004F2061" w:rsidP="006E25F2">
            <w:pPr>
              <w:spacing w:after="0"/>
              <w:rPr>
                <w:b/>
                <w:bCs/>
                <w:sz w:val="20"/>
                <w:szCs w:val="20"/>
              </w:rPr>
            </w:pPr>
          </w:p>
          <w:p w14:paraId="14088446" w14:textId="77777777" w:rsidR="004F2061" w:rsidRPr="003512EE" w:rsidRDefault="004F2061" w:rsidP="006E25F2">
            <w:pPr>
              <w:spacing w:after="0"/>
              <w:rPr>
                <w:b/>
                <w:bCs/>
                <w:sz w:val="20"/>
                <w:szCs w:val="20"/>
              </w:rPr>
            </w:pPr>
            <w:r w:rsidRPr="003512EE">
              <w:rPr>
                <w:b/>
                <w:bCs/>
                <w:sz w:val="20"/>
                <w:szCs w:val="20"/>
              </w:rPr>
              <w:t xml:space="preserve">Judges 4:4-11; </w:t>
            </w:r>
          </w:p>
          <w:p w14:paraId="25C73970" w14:textId="77777777" w:rsidR="004F2061" w:rsidRPr="003512EE" w:rsidRDefault="004F2061" w:rsidP="006E25F2">
            <w:pPr>
              <w:spacing w:after="0"/>
              <w:rPr>
                <w:b/>
                <w:bCs/>
                <w:sz w:val="20"/>
                <w:szCs w:val="20"/>
              </w:rPr>
            </w:pPr>
            <w:r w:rsidRPr="003512EE">
              <w:rPr>
                <w:b/>
                <w:bCs/>
                <w:sz w:val="20"/>
                <w:szCs w:val="20"/>
              </w:rPr>
              <w:t>5:7-15</w:t>
            </w:r>
          </w:p>
        </w:tc>
        <w:tc>
          <w:tcPr>
            <w:tcW w:w="3539" w:type="dxa"/>
            <w:shd w:val="clear" w:color="auto" w:fill="BDD6EE" w:themeFill="accent1" w:themeFillTint="66"/>
          </w:tcPr>
          <w:p w14:paraId="66F34684" w14:textId="1A85E697" w:rsidR="004F2061" w:rsidRDefault="004F2061" w:rsidP="006E25F2">
            <w:r>
              <w:t xml:space="preserve">A </w:t>
            </w:r>
            <w:r w:rsidRPr="003512EE">
              <w:t>prophet</w:t>
            </w:r>
            <w:r w:rsidR="001E7E85">
              <w:t>, judge</w:t>
            </w:r>
            <w:r w:rsidRPr="003512EE">
              <w:t xml:space="preserve"> and heroine in the Old Testamen</w:t>
            </w:r>
            <w:r>
              <w:t>t</w:t>
            </w:r>
            <w:r w:rsidRPr="003512EE">
              <w:t>, who inspired the Israelites to a mighty victory over their Canaanite oppressors</w:t>
            </w:r>
            <w:r w:rsidR="001E7E85">
              <w:t>.</w:t>
            </w:r>
          </w:p>
        </w:tc>
      </w:tr>
      <w:tr w:rsidR="004F2061" w14:paraId="48B756C2" w14:textId="77777777" w:rsidTr="001E7E85">
        <w:trPr>
          <w:trHeight w:val="1800"/>
        </w:trPr>
        <w:tc>
          <w:tcPr>
            <w:tcW w:w="425" w:type="dxa"/>
            <w:shd w:val="clear" w:color="auto" w:fill="DEEAF6" w:themeFill="accent1" w:themeFillTint="33"/>
          </w:tcPr>
          <w:p w14:paraId="7ACC0BB0" w14:textId="77777777" w:rsidR="004F2061" w:rsidRDefault="004F2061" w:rsidP="006E25F2">
            <w:r>
              <w:t xml:space="preserve">6. </w:t>
            </w:r>
          </w:p>
        </w:tc>
        <w:tc>
          <w:tcPr>
            <w:tcW w:w="1418" w:type="dxa"/>
            <w:shd w:val="clear" w:color="auto" w:fill="DEEAF6" w:themeFill="accent1" w:themeFillTint="33"/>
          </w:tcPr>
          <w:p w14:paraId="00E94B37" w14:textId="77777777" w:rsidR="004F2061" w:rsidRPr="003512EE" w:rsidRDefault="004F2061" w:rsidP="006E25F2">
            <w:pPr>
              <w:rPr>
                <w:b/>
                <w:bCs/>
                <w:sz w:val="20"/>
                <w:szCs w:val="20"/>
              </w:rPr>
            </w:pPr>
            <w:r w:rsidRPr="003512EE">
              <w:rPr>
                <w:b/>
                <w:bCs/>
                <w:sz w:val="20"/>
                <w:szCs w:val="20"/>
              </w:rPr>
              <w:t>Esther</w:t>
            </w:r>
          </w:p>
          <w:p w14:paraId="10F71C3B" w14:textId="77777777" w:rsidR="004F2061" w:rsidRPr="003512EE" w:rsidRDefault="004F2061" w:rsidP="006E25F2">
            <w:pPr>
              <w:rPr>
                <w:b/>
                <w:bCs/>
                <w:sz w:val="20"/>
                <w:szCs w:val="20"/>
              </w:rPr>
            </w:pPr>
            <w:r w:rsidRPr="003512EE">
              <w:rPr>
                <w:b/>
                <w:bCs/>
                <w:sz w:val="20"/>
                <w:szCs w:val="20"/>
              </w:rPr>
              <w:t>Esther 8:3-12</w:t>
            </w:r>
          </w:p>
        </w:tc>
        <w:tc>
          <w:tcPr>
            <w:tcW w:w="3539" w:type="dxa"/>
            <w:shd w:val="clear" w:color="auto" w:fill="DEEAF6" w:themeFill="accent1" w:themeFillTint="33"/>
          </w:tcPr>
          <w:p w14:paraId="7302AD18" w14:textId="36A6A906" w:rsidR="004F2061" w:rsidRDefault="004F2061" w:rsidP="006E25F2">
            <w:r>
              <w:t xml:space="preserve">She </w:t>
            </w:r>
            <w:r w:rsidRPr="003512EE">
              <w:t>becomes queen and risks her life to save the Jewish people from destruction when the court official Haman persuades the king to authori</w:t>
            </w:r>
            <w:r>
              <w:t>s</w:t>
            </w:r>
            <w:r w:rsidRPr="003512EE">
              <w:t xml:space="preserve">e </w:t>
            </w:r>
            <w:r>
              <w:t>the destruction</w:t>
            </w:r>
            <w:r w:rsidRPr="003512EE">
              <w:t xml:space="preserve"> against all the Jews of the empire.</w:t>
            </w:r>
          </w:p>
        </w:tc>
      </w:tr>
    </w:tbl>
    <w:p w14:paraId="03269553" w14:textId="21D53B6B" w:rsidR="00A8495E" w:rsidRDefault="005A50D1">
      <w:r>
        <w:rPr>
          <w:noProof/>
          <w:lang w:eastAsia="en-GB"/>
        </w:rPr>
        <mc:AlternateContent>
          <mc:Choice Requires="wps">
            <w:drawing>
              <wp:anchor distT="0" distB="0" distL="114300" distR="114300" simplePos="0" relativeHeight="251663360" behindDoc="0" locked="0" layoutInCell="1" allowOverlap="1" wp14:anchorId="2E695833" wp14:editId="1164CDE4">
                <wp:simplePos x="0" y="0"/>
                <wp:positionH relativeFrom="column">
                  <wp:posOffset>6253204</wp:posOffset>
                </wp:positionH>
                <wp:positionV relativeFrom="paragraph">
                  <wp:posOffset>9166</wp:posOffset>
                </wp:positionV>
                <wp:extent cx="3522428" cy="332740"/>
                <wp:effectExtent l="0" t="0" r="20955" b="10160"/>
                <wp:wrapNone/>
                <wp:docPr id="3" name="Text Box 3"/>
                <wp:cNvGraphicFramePr/>
                <a:graphic xmlns:a="http://schemas.openxmlformats.org/drawingml/2006/main">
                  <a:graphicData uri="http://schemas.microsoft.com/office/word/2010/wordprocessingShape">
                    <wps:wsp>
                      <wps:cNvSpPr txBox="1"/>
                      <wps:spPr>
                        <a:xfrm>
                          <a:off x="0" y="0"/>
                          <a:ext cx="3522428" cy="332740"/>
                        </a:xfrm>
                        <a:prstGeom prst="rect">
                          <a:avLst/>
                        </a:prstGeom>
                        <a:solidFill>
                          <a:srgbClr val="92D050"/>
                        </a:solidFill>
                        <a:ln w="6350">
                          <a:solidFill>
                            <a:prstClr val="black"/>
                          </a:solidFill>
                        </a:ln>
                        <a:effectLst/>
                      </wps:spPr>
                      <wps:txbx>
                        <w:txbxContent>
                          <w:p w14:paraId="443AC470" w14:textId="1A1BD33E" w:rsidR="0041592D" w:rsidRPr="00C7269E" w:rsidRDefault="00C7269E" w:rsidP="00552765">
                            <w:pPr>
                              <w:jc w:val="center"/>
                              <w:rPr>
                                <w:b/>
                                <w:color w:val="FFFFFF" w:themeColor="background1"/>
                                <w:sz w:val="32"/>
                                <w:szCs w:val="32"/>
                              </w:rPr>
                            </w:pPr>
                            <w:r w:rsidRPr="00C7269E">
                              <w:rPr>
                                <w:b/>
                                <w:color w:val="FFFFFF" w:themeColor="background1"/>
                                <w:sz w:val="30"/>
                                <w:szCs w:val="30"/>
                              </w:rPr>
                              <w:t>Lucan and Matthean Infancy Narrative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95833" id="_x0000_t202" coordsize="21600,21600" o:spt="202" path="m,l,21600r21600,l21600,xe">
                <v:stroke joinstyle="miter"/>
                <v:path gradientshapeok="t" o:connecttype="rect"/>
              </v:shapetype>
              <v:shape id="Text Box 3" o:spid="_x0000_s1026" type="#_x0000_t202" style="position:absolute;margin-left:492.4pt;margin-top:.7pt;width:277.35pt;height:2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" fillcolor="#92d050" strokeweight=".5pt">
                <v:textbox>
                  <w:txbxContent>
                    <w:p w14:paraId="443AC470" w14:textId="1A1BD33E" w:rsidR="0041592D" w:rsidRPr="00C7269E" w:rsidRDefault="00C7269E" w:rsidP="00552765">
                      <w:pPr>
                        <w:jc w:val="center"/>
                        <w:rPr>
                          <w:b/>
                          <w:color w:val="FFFFFF" w:themeColor="background1"/>
                          <w:sz w:val="32"/>
                          <w:szCs w:val="32"/>
                        </w:rPr>
                      </w:pPr>
                      <w:r w:rsidRPr="00C7269E">
                        <w:rPr>
                          <w:b/>
                          <w:color w:val="FFFFFF" w:themeColor="background1"/>
                          <w:sz w:val="30"/>
                          <w:szCs w:val="30"/>
                        </w:rPr>
                        <w:t>Lucan and Matthean Infancy Narrative</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AFA454D" wp14:editId="6A41A8C7">
                <wp:simplePos x="0" y="0"/>
                <wp:positionH relativeFrom="margin">
                  <wp:posOffset>3120390</wp:posOffset>
                </wp:positionH>
                <wp:positionV relativeFrom="paragraph">
                  <wp:posOffset>9166</wp:posOffset>
                </wp:positionV>
                <wp:extent cx="2965837" cy="34925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2965837" cy="349250"/>
                        </a:xfrm>
                        <a:prstGeom prst="rect">
                          <a:avLst/>
                        </a:prstGeom>
                        <a:solidFill>
                          <a:schemeClr val="accent4"/>
                        </a:solidFill>
                        <a:ln w="6350">
                          <a:solidFill>
                            <a:prstClr val="black"/>
                          </a:solidFill>
                        </a:ln>
                        <a:effectLst/>
                      </wps:spPr>
                      <wps:txbx>
                        <w:txbxContent>
                          <w:p w14:paraId="0CA06105" w14:textId="7FCBD4B3" w:rsidR="0041592D" w:rsidRPr="00C7269E" w:rsidRDefault="00C7269E" w:rsidP="00552765">
                            <w:pPr>
                              <w:jc w:val="center"/>
                              <w:rPr>
                                <w:b/>
                                <w:color w:val="FFFFFF" w:themeColor="background1"/>
                                <w:sz w:val="29"/>
                                <w:szCs w:val="29"/>
                              </w:rPr>
                            </w:pPr>
                            <w:r w:rsidRPr="006E25F2">
                              <w:rPr>
                                <w:b/>
                                <w:color w:val="FFFFFF" w:themeColor="background1"/>
                                <w:sz w:val="28"/>
                                <w:szCs w:val="28"/>
                              </w:rPr>
                              <w:t>Mary the fulfilment of the Old</w:t>
                            </w:r>
                            <w:r w:rsidRPr="006E25F2">
                              <w:rPr>
                                <w:b/>
                                <w:color w:val="FFFFFF" w:themeColor="background1"/>
                                <w:sz w:val="24"/>
                                <w:szCs w:val="24"/>
                              </w:rPr>
                              <w:t xml:space="preserve"> </w:t>
                            </w:r>
                            <w:r w:rsidRPr="006E25F2">
                              <w:rPr>
                                <w:b/>
                                <w:color w:val="FFFFFF" w:themeColor="background1"/>
                                <w:sz w:val="28"/>
                                <w:szCs w:val="28"/>
                              </w:rPr>
                              <w:t>Testament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FA454D" id="Text Box 2" o:spid="_x0000_s1027" type="#_x0000_t202" style="position:absolute;margin-left:245.7pt;margin-top:.7pt;width:233.55pt;height:2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" fillcolor="#ffc000 [3207]" strokeweight=".5pt">
                <v:textbox>
                  <w:txbxContent>
                    <w:p w14:paraId="0CA06105" w14:textId="7FCBD4B3" w:rsidR="0041592D" w:rsidRPr="00C7269E" w:rsidRDefault="00C7269E" w:rsidP="00552765">
                      <w:pPr>
                        <w:jc w:val="center"/>
                        <w:rPr>
                          <w:b/>
                          <w:color w:val="FFFFFF" w:themeColor="background1"/>
                          <w:sz w:val="29"/>
                          <w:szCs w:val="29"/>
                        </w:rPr>
                      </w:pPr>
                      <w:r w:rsidRPr="006E25F2">
                        <w:rPr>
                          <w:b/>
                          <w:color w:val="FFFFFF" w:themeColor="background1"/>
                          <w:sz w:val="28"/>
                          <w:szCs w:val="28"/>
                        </w:rPr>
                        <w:t>Mary the fulfilment of the Old</w:t>
                      </w:r>
                      <w:r w:rsidRPr="006E25F2">
                        <w:rPr>
                          <w:b/>
                          <w:color w:val="FFFFFF" w:themeColor="background1"/>
                          <w:sz w:val="24"/>
                          <w:szCs w:val="24"/>
                        </w:rPr>
                        <w:t xml:space="preserve"> </w:t>
                      </w:r>
                      <w:r w:rsidRPr="006E25F2">
                        <w:rPr>
                          <w:b/>
                          <w:color w:val="FFFFFF" w:themeColor="background1"/>
                          <w:sz w:val="28"/>
                          <w:szCs w:val="28"/>
                        </w:rPr>
                        <w:t>Testament</w:t>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B077AAA" wp14:editId="0C5530E5">
                <wp:simplePos x="0" y="0"/>
                <wp:positionH relativeFrom="column">
                  <wp:posOffset>-394087</wp:posOffset>
                </wp:positionH>
                <wp:positionV relativeFrom="paragraph">
                  <wp:posOffset>9166</wp:posOffset>
                </wp:positionV>
                <wp:extent cx="3427013" cy="349250"/>
                <wp:effectExtent l="0" t="0" r="21590" b="12700"/>
                <wp:wrapNone/>
                <wp:docPr id="1" name="Text Box 1"/>
                <wp:cNvGraphicFramePr/>
                <a:graphic xmlns:a="http://schemas.openxmlformats.org/drawingml/2006/main">
                  <a:graphicData uri="http://schemas.microsoft.com/office/word/2010/wordprocessingShape">
                    <wps:wsp>
                      <wps:cNvSpPr txBox="1"/>
                      <wps:spPr>
                        <a:xfrm>
                          <a:off x="0" y="0"/>
                          <a:ext cx="3427013" cy="349250"/>
                        </a:xfrm>
                        <a:prstGeom prst="rect">
                          <a:avLst/>
                        </a:prstGeom>
                        <a:solidFill>
                          <a:schemeClr val="accent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9A1B4A" w14:textId="0475D99D" w:rsidR="0041592D" w:rsidRPr="00552765" w:rsidRDefault="00C7269E" w:rsidP="00552765">
                            <w:pPr>
                              <w:jc w:val="center"/>
                              <w:rPr>
                                <w:b/>
                                <w:color w:val="FFFFFF" w:themeColor="background1"/>
                                <w:sz w:val="32"/>
                              </w:rPr>
                            </w:pPr>
                            <w:r>
                              <w:rPr>
                                <w:b/>
                                <w:color w:val="FFFFFF" w:themeColor="background1"/>
                                <w:sz w:val="32"/>
                              </w:rPr>
                              <w:t>Women of the Old Testament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077AAA" id="Text Box 1" o:spid="_x0000_s1028" type="#_x0000_t202" style="position:absolute;margin-left:-31.05pt;margin-top:.7pt;width:269.85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" fillcolor="#2e74b5 [2404]" strokeweight=".5pt">
                <v:textbox>
                  <w:txbxContent>
                    <w:p w14:paraId="679A1B4A" w14:textId="0475D99D" w:rsidR="0041592D" w:rsidRPr="00552765" w:rsidRDefault="00C7269E" w:rsidP="00552765">
                      <w:pPr>
                        <w:jc w:val="center"/>
                        <w:rPr>
                          <w:b/>
                          <w:color w:val="FFFFFF" w:themeColor="background1"/>
                          <w:sz w:val="32"/>
                        </w:rPr>
                      </w:pPr>
                      <w:r>
                        <w:rPr>
                          <w:b/>
                          <w:color w:val="FFFFFF" w:themeColor="background1"/>
                          <w:sz w:val="32"/>
                        </w:rPr>
                        <w:t>Women of the Old Testament</w:t>
                      </w:r>
                    </w:p>
                  </w:txbxContent>
                </v:textbox>
              </v:shape>
            </w:pict>
          </mc:Fallback>
        </mc:AlternateContent>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p>
    <w:p w14:paraId="5F79B451" w14:textId="425422DC" w:rsidR="00A563E7" w:rsidRDefault="001E7E85" w:rsidP="001E7E85">
      <w:pPr>
        <w:jc w:val="center"/>
      </w:pPr>
      <w:r>
        <w:rPr>
          <w:noProof/>
          <w:lang w:eastAsia="en-GB"/>
        </w:rPr>
        <w:drawing>
          <wp:inline distT="0" distB="0" distL="0" distR="0" wp14:anchorId="30CA1DFA" wp14:editId="57849FB8">
            <wp:extent cx="1625836" cy="1455089"/>
            <wp:effectExtent l="0" t="0" r="0" b="0"/>
            <wp:docPr id="4" name="Picture 4" descr="https://i.pinimg.com/564x/e6/94/34/e694342a38b4ef483a67588e47f22a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564x/e6/94/34/e694342a38b4ef483a67588e47f22ae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8828" cy="1475666"/>
                    </a:xfrm>
                    <a:prstGeom prst="rect">
                      <a:avLst/>
                    </a:prstGeom>
                    <a:noFill/>
                    <a:ln>
                      <a:noFill/>
                    </a:ln>
                  </pic:spPr>
                </pic:pic>
              </a:graphicData>
            </a:graphic>
          </wp:inline>
        </w:drawing>
      </w:r>
      <w:bookmarkStart w:id="0" w:name="_GoBack"/>
      <w:bookmarkEnd w:id="0"/>
    </w:p>
    <w:sectPr w:rsidR="00A563E7" w:rsidSect="001E7E85">
      <w:headerReference w:type="default" r:id="rId9"/>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B8085" w14:textId="77777777" w:rsidR="0041592D" w:rsidRDefault="0041592D" w:rsidP="0041592D">
      <w:pPr>
        <w:spacing w:after="0" w:line="240" w:lineRule="auto"/>
      </w:pPr>
      <w:r>
        <w:separator/>
      </w:r>
    </w:p>
  </w:endnote>
  <w:endnote w:type="continuationSeparator" w:id="0">
    <w:p w14:paraId="781C354C" w14:textId="77777777" w:rsidR="0041592D" w:rsidRDefault="0041592D" w:rsidP="0041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797F8" w14:textId="77777777" w:rsidR="0041592D" w:rsidRDefault="0041592D" w:rsidP="0041592D">
      <w:pPr>
        <w:spacing w:after="0" w:line="240" w:lineRule="auto"/>
      </w:pPr>
      <w:r>
        <w:separator/>
      </w:r>
    </w:p>
  </w:footnote>
  <w:footnote w:type="continuationSeparator" w:id="0">
    <w:p w14:paraId="7564A5B9" w14:textId="77777777" w:rsidR="0041592D" w:rsidRDefault="0041592D" w:rsidP="00415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966C2" w14:textId="3CB41554" w:rsidR="0041592D" w:rsidRPr="00B108F6" w:rsidRDefault="0041592D">
    <w:pPr>
      <w:pStyle w:val="Header"/>
      <w:rPr>
        <w:b/>
        <w:sz w:val="32"/>
      </w:rPr>
    </w:pPr>
    <w:r w:rsidRPr="00B108F6">
      <w:rPr>
        <w:b/>
        <w:sz w:val="32"/>
      </w:rPr>
      <w:t>Prophecy and Promise</w:t>
    </w:r>
    <w:r w:rsidRPr="00B108F6">
      <w:rPr>
        <w:b/>
        <w:sz w:val="32"/>
      </w:rPr>
      <w:tab/>
    </w:r>
    <w:r w:rsidR="00552765" w:rsidRPr="00B108F6">
      <w:rPr>
        <w:b/>
        <w:sz w:val="32"/>
      </w:rPr>
      <w:t xml:space="preserve">                                                    </w:t>
    </w:r>
    <w:r w:rsidRPr="00B108F6">
      <w:rPr>
        <w:b/>
        <w:sz w:val="32"/>
      </w:rPr>
      <w:t xml:space="preserve">Year </w:t>
    </w:r>
    <w:r w:rsidR="00C7269E">
      <w:rPr>
        <w:b/>
        <w:sz w:val="32"/>
      </w:rPr>
      <w:t>6</w:t>
    </w:r>
    <w:r w:rsidRPr="00B108F6">
      <w:rPr>
        <w:b/>
        <w:sz w:val="32"/>
      </w:rPr>
      <w:tab/>
    </w:r>
    <w:r w:rsidRPr="00B108F6">
      <w:rPr>
        <w:b/>
        <w:sz w:val="32"/>
      </w:rPr>
      <w:tab/>
    </w:r>
    <w:r w:rsidRPr="00B108F6">
      <w:rPr>
        <w:b/>
        <w:sz w:val="32"/>
      </w:rPr>
      <w:tab/>
    </w:r>
    <w:r w:rsidRPr="00B108F6">
      <w:rPr>
        <w:b/>
        <w:sz w:val="32"/>
      </w:rPr>
      <w:tab/>
    </w:r>
    <w:r w:rsidRPr="00B108F6">
      <w:rPr>
        <w:b/>
        <w:sz w:val="32"/>
      </w:rPr>
      <w:tab/>
    </w:r>
    <w:r w:rsidR="00552765" w:rsidRPr="00B108F6">
      <w:rPr>
        <w:b/>
        <w:sz w:val="32"/>
      </w:rPr>
      <w:tab/>
    </w:r>
    <w:r w:rsidR="00552765" w:rsidRPr="00B108F6">
      <w:rPr>
        <w:b/>
        <w:sz w:val="32"/>
      </w:rPr>
      <w:tab/>
    </w:r>
    <w:r w:rsidR="00B108F6">
      <w:rPr>
        <w:b/>
        <w:sz w:val="32"/>
      </w:rPr>
      <w:t xml:space="preserve">   </w:t>
    </w:r>
    <w:r w:rsidRPr="00B108F6">
      <w:rPr>
        <w:b/>
        <w:sz w:val="32"/>
      </w:rPr>
      <w:t>Advent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2D"/>
    <w:rsid w:val="00100931"/>
    <w:rsid w:val="001E7E85"/>
    <w:rsid w:val="002D3A06"/>
    <w:rsid w:val="003512EE"/>
    <w:rsid w:val="003947EC"/>
    <w:rsid w:val="003F67A0"/>
    <w:rsid w:val="0041592D"/>
    <w:rsid w:val="004F02AF"/>
    <w:rsid w:val="004F2061"/>
    <w:rsid w:val="00552765"/>
    <w:rsid w:val="005847C3"/>
    <w:rsid w:val="005A50D1"/>
    <w:rsid w:val="006E25F2"/>
    <w:rsid w:val="00721B12"/>
    <w:rsid w:val="0072748D"/>
    <w:rsid w:val="007464ED"/>
    <w:rsid w:val="009F164B"/>
    <w:rsid w:val="00A44C89"/>
    <w:rsid w:val="00A51A29"/>
    <w:rsid w:val="00A563E7"/>
    <w:rsid w:val="00B108F6"/>
    <w:rsid w:val="00C40604"/>
    <w:rsid w:val="00C41250"/>
    <w:rsid w:val="00C7269E"/>
    <w:rsid w:val="00D35264"/>
    <w:rsid w:val="00F66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2DD6"/>
  <w15:chartTrackingRefBased/>
  <w15:docId w15:val="{F5091C76-0B67-4426-813B-F848A33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92D"/>
  </w:style>
  <w:style w:type="paragraph" w:styleId="Footer">
    <w:name w:val="footer"/>
    <w:basedOn w:val="Normal"/>
    <w:link w:val="FooterChar"/>
    <w:uiPriority w:val="99"/>
    <w:unhideWhenUsed/>
    <w:rsid w:val="00415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4" ma:contentTypeDescription="Create a new document." ma:contentTypeScope="" ma:versionID="4213dd592cf6cda34f3ad9f5157ea10c">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301278ae85bd7bb5dfdc355e56917aea"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458D5B-A8BB-44C0-B34B-B940DDBBE428}"/>
</file>

<file path=customXml/itemProps2.xml><?xml version="1.0" encoding="utf-8"?>
<ds:datastoreItem xmlns:ds="http://schemas.openxmlformats.org/officeDocument/2006/customXml" ds:itemID="{0A5C5BB4-AB9F-4F04-BDED-F044B988D8DE}"/>
</file>

<file path=customXml/itemProps3.xml><?xml version="1.0" encoding="utf-8"?>
<ds:datastoreItem xmlns:ds="http://schemas.openxmlformats.org/officeDocument/2006/customXml" ds:itemID="{11972D4F-3AFD-4CD8-AF95-5C91BDC8A327}"/>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Tammie McNamara</cp:lastModifiedBy>
  <cp:revision>2</cp:revision>
  <dcterms:created xsi:type="dcterms:W3CDTF">2023-11-04T13:41:00Z</dcterms:created>
  <dcterms:modified xsi:type="dcterms:W3CDTF">2023-11-04T13:41:00Z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ies>
</file>